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</w:t>
      </w:r>
      <w:proofErr w:type="gramStart"/>
      <w:r w:rsidRPr="005B5A76">
        <w:rPr>
          <w:sz w:val="28"/>
          <w:szCs w:val="28"/>
        </w:rPr>
        <w:t xml:space="preserve">профильной деятельности </w:t>
      </w:r>
      <w:r w:rsidR="0074658E">
        <w:rPr>
          <w:sz w:val="28"/>
          <w:szCs w:val="28"/>
        </w:rPr>
        <w:t>территориального органа</w:t>
      </w:r>
      <w:proofErr w:type="gramEnd"/>
      <w:r w:rsidR="0074658E">
        <w:rPr>
          <w:sz w:val="28"/>
          <w:szCs w:val="28"/>
        </w:rPr>
        <w:t xml:space="preserve">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25A0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Фигуровский Николай Николаевич</cp:lastModifiedBy>
  <cp:revision>2</cp:revision>
  <dcterms:created xsi:type="dcterms:W3CDTF">2020-09-02T13:07:00Z</dcterms:created>
  <dcterms:modified xsi:type="dcterms:W3CDTF">2020-09-02T13:07:00Z</dcterms:modified>
</cp:coreProperties>
</file>